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1ECC" w14:textId="77777777" w:rsidR="00F70884" w:rsidRPr="00830908" w:rsidRDefault="0002478B" w:rsidP="009D7C2D">
      <w:pPr>
        <w:pStyle w:val="Normal2"/>
        <w:jc w:val="both"/>
        <w:rPr>
          <w:b/>
          <w:bCs/>
          <w:lang w:val="es-ES"/>
        </w:rPr>
      </w:pPr>
      <w:r w:rsidRPr="00830908">
        <w:rPr>
          <w:b/>
          <w:bCs/>
          <w:lang w:val="es-ES"/>
        </w:rPr>
        <w:tab/>
      </w:r>
    </w:p>
    <w:p w14:paraId="38DB6CB3" w14:textId="70C35A0F" w:rsidR="006943E1" w:rsidRPr="006501FD" w:rsidRDefault="006943E1" w:rsidP="009D7C2D">
      <w:pPr>
        <w:pStyle w:val="Normal2"/>
        <w:jc w:val="both"/>
        <w:rPr>
          <w:b/>
          <w:bCs/>
          <w:lang w:val="es-ES"/>
        </w:rPr>
      </w:pPr>
      <w:r w:rsidRPr="00331D5B">
        <w:rPr>
          <w:b/>
          <w:bCs/>
          <w:lang w:val="pt-BR"/>
        </w:rPr>
        <w:t>MERCOSU</w:t>
      </w:r>
      <w:r w:rsidR="0035322A" w:rsidRPr="00331D5B">
        <w:rPr>
          <w:b/>
          <w:bCs/>
          <w:lang w:val="pt-BR"/>
        </w:rPr>
        <w:t>R</w:t>
      </w:r>
      <w:r w:rsidRPr="00331D5B">
        <w:rPr>
          <w:b/>
          <w:bCs/>
          <w:lang w:val="pt-BR"/>
        </w:rPr>
        <w:t>/</w:t>
      </w:r>
      <w:r w:rsidR="002E0CE2" w:rsidRPr="00331D5B">
        <w:rPr>
          <w:b/>
          <w:bCs/>
          <w:lang w:val="pt-BR"/>
        </w:rPr>
        <w:t>LXX</w:t>
      </w:r>
      <w:r w:rsidR="00453504" w:rsidRPr="00331D5B">
        <w:rPr>
          <w:b/>
          <w:bCs/>
          <w:lang w:val="pt-BR"/>
        </w:rPr>
        <w:t>II</w:t>
      </w:r>
      <w:r w:rsidR="00331D5B" w:rsidRPr="00331D5B">
        <w:rPr>
          <w:b/>
          <w:bCs/>
          <w:lang w:val="pt-BR"/>
        </w:rPr>
        <w:t xml:space="preserve"> </w:t>
      </w:r>
      <w:r w:rsidRPr="00331D5B">
        <w:rPr>
          <w:b/>
          <w:bCs/>
          <w:lang w:val="pt-BR"/>
        </w:rPr>
        <w:t>SGT N° 3/P.</w:t>
      </w:r>
      <w:r w:rsidR="001F657F">
        <w:rPr>
          <w:b/>
          <w:bCs/>
          <w:lang w:val="pt-BR"/>
        </w:rPr>
        <w:t xml:space="preserve"> </w:t>
      </w:r>
      <w:r w:rsidRPr="00331D5B">
        <w:rPr>
          <w:b/>
          <w:bCs/>
          <w:lang w:val="pt-BR"/>
        </w:rPr>
        <w:t xml:space="preserve">RES. </w:t>
      </w:r>
      <w:r w:rsidRPr="006501FD">
        <w:rPr>
          <w:b/>
          <w:bCs/>
          <w:lang w:val="es-ES"/>
        </w:rPr>
        <w:t xml:space="preserve">Nº </w:t>
      </w:r>
      <w:r w:rsidR="001F657F" w:rsidRPr="006501FD">
        <w:rPr>
          <w:b/>
          <w:bCs/>
          <w:lang w:val="es-ES"/>
        </w:rPr>
        <w:t>02/20</w:t>
      </w:r>
    </w:p>
    <w:p w14:paraId="54E5DAC7" w14:textId="77777777" w:rsidR="006943E1" w:rsidRPr="006501FD" w:rsidRDefault="006943E1" w:rsidP="009D7C2D">
      <w:pPr>
        <w:pStyle w:val="Normal2"/>
        <w:jc w:val="both"/>
        <w:rPr>
          <w:b/>
          <w:bCs/>
          <w:color w:val="FA0000"/>
          <w:u w:color="FA0000"/>
          <w:lang w:val="es-ES"/>
        </w:rPr>
      </w:pPr>
    </w:p>
    <w:p w14:paraId="1106F6A3" w14:textId="77777777" w:rsidR="002E0CE2" w:rsidRPr="006501FD" w:rsidRDefault="002E0CE2" w:rsidP="009D7C2D">
      <w:pPr>
        <w:pStyle w:val="CM14"/>
        <w:spacing w:after="0" w:line="276" w:lineRule="atLeast"/>
        <w:jc w:val="center"/>
        <w:rPr>
          <w:rFonts w:ascii="Arial" w:hAnsi="Arial" w:cs="Arial"/>
          <w:b/>
          <w:bCs/>
          <w:lang w:val="es-ES"/>
        </w:rPr>
      </w:pPr>
    </w:p>
    <w:p w14:paraId="533085BC" w14:textId="77777777" w:rsidR="00D32656" w:rsidRPr="00830908" w:rsidRDefault="0035322A" w:rsidP="009D7C2D">
      <w:pPr>
        <w:pStyle w:val="CM14"/>
        <w:spacing w:after="0" w:line="276" w:lineRule="atLeast"/>
        <w:jc w:val="center"/>
        <w:rPr>
          <w:rFonts w:ascii="Arial" w:hAnsi="Arial" w:cs="Arial"/>
        </w:rPr>
      </w:pPr>
      <w:r w:rsidRPr="00830908">
        <w:rPr>
          <w:rFonts w:ascii="Arial" w:hAnsi="Arial" w:cs="Arial"/>
          <w:b/>
          <w:bCs/>
          <w:lang w:val="es-ES"/>
        </w:rPr>
        <w:t>REGLAMENTO TÉCNICO MERCOSUR SOBRE DISPOSICIONES GENERALES PARA ENVASES Y EQUIPAMIENTOS PLÁSTICOS EN CONTACTO CON ALIMENTOS</w:t>
      </w:r>
      <w:r w:rsidR="00D32656" w:rsidRPr="00830908">
        <w:rPr>
          <w:rFonts w:ascii="Arial" w:hAnsi="Arial" w:cs="Arial"/>
        </w:rPr>
        <w:t xml:space="preserve"> </w:t>
      </w:r>
    </w:p>
    <w:p w14:paraId="078751D2" w14:textId="77777777" w:rsidR="0035322A" w:rsidRPr="00830908" w:rsidRDefault="00D32656" w:rsidP="009D7C2D">
      <w:pPr>
        <w:pStyle w:val="CM14"/>
        <w:spacing w:after="0" w:line="276" w:lineRule="atLeast"/>
        <w:jc w:val="center"/>
        <w:rPr>
          <w:rFonts w:ascii="Arial" w:hAnsi="Arial" w:cs="Arial"/>
          <w:b/>
          <w:bCs/>
          <w:lang w:val="es-ES"/>
        </w:rPr>
      </w:pPr>
      <w:r w:rsidRPr="00830908">
        <w:rPr>
          <w:rFonts w:ascii="Arial" w:hAnsi="Arial" w:cs="Arial"/>
        </w:rPr>
        <w:t>(</w:t>
      </w:r>
      <w:r w:rsidRPr="00F95116">
        <w:rPr>
          <w:rFonts w:ascii="Arial" w:hAnsi="Arial" w:cs="Arial"/>
          <w:b/>
          <w:bCs/>
          <w:lang w:val="es-ES"/>
        </w:rPr>
        <w:t>MODIFICACIÓN</w:t>
      </w:r>
      <w:r w:rsidRPr="00830908">
        <w:rPr>
          <w:rFonts w:ascii="Arial" w:hAnsi="Arial" w:cs="Arial"/>
          <w:b/>
          <w:bCs/>
          <w:lang w:val="es-ES"/>
        </w:rPr>
        <w:t xml:space="preserve"> DE LA RESOLUCIÓN GMC Nº 56/92)</w:t>
      </w:r>
    </w:p>
    <w:p w14:paraId="6D5A9491" w14:textId="77777777" w:rsidR="0035322A" w:rsidRPr="00830908" w:rsidRDefault="0035322A" w:rsidP="009D7C2D">
      <w:pPr>
        <w:pStyle w:val="CM14"/>
        <w:spacing w:after="0" w:line="276" w:lineRule="atLeast"/>
        <w:jc w:val="center"/>
        <w:rPr>
          <w:rFonts w:ascii="Arial" w:hAnsi="Arial" w:cs="Arial"/>
          <w:b/>
          <w:bCs/>
          <w:lang w:val="es-ES"/>
        </w:rPr>
      </w:pPr>
    </w:p>
    <w:p w14:paraId="4702701E" w14:textId="77777777" w:rsidR="00D32656" w:rsidRPr="00830908" w:rsidRDefault="00D32656" w:rsidP="009D7C2D">
      <w:pPr>
        <w:pStyle w:val="Default"/>
        <w:rPr>
          <w:rFonts w:ascii="Arial" w:hAnsi="Arial" w:cs="Arial"/>
          <w:lang w:val="es-ES"/>
        </w:rPr>
      </w:pPr>
    </w:p>
    <w:p w14:paraId="4394090A" w14:textId="77777777" w:rsidR="0035322A" w:rsidRPr="00830908" w:rsidRDefault="0035322A" w:rsidP="0002478B">
      <w:pPr>
        <w:pStyle w:val="CM14"/>
        <w:spacing w:after="0" w:line="276" w:lineRule="atLeast"/>
        <w:ind w:firstLine="708"/>
        <w:jc w:val="both"/>
        <w:rPr>
          <w:rFonts w:ascii="Arial" w:hAnsi="Arial" w:cs="Arial"/>
          <w:bCs/>
          <w:lang w:val="es-ES"/>
        </w:rPr>
      </w:pPr>
      <w:r w:rsidRPr="00830908">
        <w:rPr>
          <w:rFonts w:ascii="Arial" w:hAnsi="Arial" w:cs="Arial"/>
          <w:b/>
          <w:bCs/>
          <w:lang w:val="es-ES"/>
        </w:rPr>
        <w:t>VISTO:</w:t>
      </w:r>
      <w:r w:rsidRPr="00830908">
        <w:rPr>
          <w:rFonts w:ascii="Arial" w:hAnsi="Arial" w:cs="Arial"/>
          <w:bCs/>
          <w:lang w:val="es-ES"/>
        </w:rPr>
        <w:t xml:space="preserve"> El Tratado de Asunción, el Protocolo de Ouro Preto, la Decisión </w:t>
      </w:r>
      <w:r w:rsidR="00B408A5" w:rsidRPr="00830908">
        <w:rPr>
          <w:rFonts w:ascii="Arial" w:hAnsi="Arial" w:cs="Arial"/>
          <w:bCs/>
          <w:lang w:val="es-ES"/>
        </w:rPr>
        <w:t xml:space="preserve">N° </w:t>
      </w:r>
      <w:r w:rsidRPr="00830908">
        <w:rPr>
          <w:rFonts w:ascii="Arial" w:hAnsi="Arial" w:cs="Arial"/>
          <w:bCs/>
          <w:lang w:val="es-ES"/>
        </w:rPr>
        <w:t>08/03 del Consejo del Mercado Común y las Resoluciones Nº 03/92, 38/98, 56/92 y 45/17 del Grupo Mercado Común.</w:t>
      </w:r>
    </w:p>
    <w:p w14:paraId="212B8BD1" w14:textId="77777777" w:rsidR="00A06E5E" w:rsidRPr="00830908" w:rsidRDefault="00A06E5E" w:rsidP="009D7C2D">
      <w:pPr>
        <w:pStyle w:val="Default"/>
        <w:rPr>
          <w:rFonts w:ascii="Arial" w:hAnsi="Arial" w:cs="Arial"/>
          <w:lang w:val="es-ES"/>
        </w:rPr>
      </w:pPr>
    </w:p>
    <w:p w14:paraId="1E9F99D5" w14:textId="77777777" w:rsidR="0035322A" w:rsidRPr="00830908" w:rsidRDefault="0035322A" w:rsidP="009D7C2D">
      <w:pPr>
        <w:pStyle w:val="CM14"/>
        <w:spacing w:after="0" w:line="276" w:lineRule="atLeast"/>
        <w:jc w:val="center"/>
        <w:rPr>
          <w:rFonts w:ascii="Arial" w:hAnsi="Arial" w:cs="Arial"/>
          <w:b/>
          <w:bCs/>
          <w:lang w:val="es-ES"/>
        </w:rPr>
      </w:pPr>
    </w:p>
    <w:p w14:paraId="6BDD501A" w14:textId="77777777" w:rsidR="0035322A" w:rsidRPr="00830908" w:rsidRDefault="0035322A" w:rsidP="0010415D">
      <w:pPr>
        <w:pStyle w:val="CM14"/>
        <w:spacing w:after="0" w:line="276" w:lineRule="atLeast"/>
        <w:rPr>
          <w:rFonts w:ascii="Arial" w:hAnsi="Arial" w:cs="Arial"/>
          <w:b/>
          <w:bCs/>
          <w:lang w:val="es-ES"/>
        </w:rPr>
      </w:pPr>
      <w:r w:rsidRPr="00830908">
        <w:rPr>
          <w:rFonts w:ascii="Arial" w:hAnsi="Arial" w:cs="Arial"/>
          <w:b/>
          <w:bCs/>
          <w:lang w:val="es-ES"/>
        </w:rPr>
        <w:t>CONSIDERANDO:</w:t>
      </w:r>
    </w:p>
    <w:p w14:paraId="2456D97A" w14:textId="77777777" w:rsidR="00A06E5E" w:rsidRPr="00830908" w:rsidRDefault="00A06E5E" w:rsidP="009D7C2D">
      <w:pPr>
        <w:pStyle w:val="Default"/>
        <w:rPr>
          <w:rFonts w:ascii="Arial" w:hAnsi="Arial" w:cs="Arial"/>
          <w:lang w:val="es-ES"/>
        </w:rPr>
      </w:pPr>
    </w:p>
    <w:p w14:paraId="32E1E3AE" w14:textId="77777777" w:rsidR="0035322A" w:rsidRPr="00830908" w:rsidRDefault="0035322A" w:rsidP="009D7C2D">
      <w:pPr>
        <w:pStyle w:val="CM14"/>
        <w:spacing w:after="0" w:line="276" w:lineRule="atLeast"/>
        <w:jc w:val="both"/>
        <w:rPr>
          <w:rFonts w:ascii="Arial" w:hAnsi="Arial" w:cs="Arial"/>
          <w:bCs/>
          <w:lang w:val="es-ES"/>
        </w:rPr>
      </w:pPr>
      <w:r w:rsidRPr="00830908">
        <w:rPr>
          <w:rFonts w:ascii="Arial" w:hAnsi="Arial" w:cs="Arial"/>
          <w:bCs/>
          <w:lang w:val="es-ES"/>
        </w:rPr>
        <w:t xml:space="preserve">Que la Resolución GMC Nº 03/92 sobre "Criterios generales </w:t>
      </w:r>
      <w:r w:rsidR="00DC0900" w:rsidRPr="00830908">
        <w:rPr>
          <w:rFonts w:ascii="Arial" w:hAnsi="Arial" w:cs="Arial"/>
          <w:bCs/>
          <w:lang w:val="es-ES"/>
        </w:rPr>
        <w:t>de</w:t>
      </w:r>
      <w:r w:rsidRPr="00830908">
        <w:rPr>
          <w:rFonts w:ascii="Arial" w:hAnsi="Arial" w:cs="Arial"/>
          <w:bCs/>
          <w:lang w:val="es-ES"/>
        </w:rPr>
        <w:t xml:space="preserve"> </w:t>
      </w:r>
      <w:r w:rsidR="00DC0900" w:rsidRPr="00830908">
        <w:rPr>
          <w:rFonts w:ascii="Arial" w:hAnsi="Arial" w:cs="Arial"/>
          <w:bCs/>
          <w:lang w:val="es-ES"/>
        </w:rPr>
        <w:t xml:space="preserve">envases y </w:t>
      </w:r>
      <w:r w:rsidRPr="00830908">
        <w:rPr>
          <w:rFonts w:ascii="Arial" w:hAnsi="Arial" w:cs="Arial"/>
          <w:bCs/>
          <w:lang w:val="es-ES"/>
        </w:rPr>
        <w:t>equip</w:t>
      </w:r>
      <w:r w:rsidR="00DC0900" w:rsidRPr="00830908">
        <w:rPr>
          <w:rFonts w:ascii="Arial" w:hAnsi="Arial" w:cs="Arial"/>
          <w:bCs/>
          <w:lang w:val="es-ES"/>
        </w:rPr>
        <w:t>amientos</w:t>
      </w:r>
      <w:r w:rsidRPr="00830908">
        <w:rPr>
          <w:rFonts w:ascii="Arial" w:hAnsi="Arial" w:cs="Arial"/>
          <w:bCs/>
          <w:lang w:val="es-ES"/>
        </w:rPr>
        <w:t xml:space="preserve"> aliment</w:t>
      </w:r>
      <w:r w:rsidR="00DC0900" w:rsidRPr="00830908">
        <w:rPr>
          <w:rFonts w:ascii="Arial" w:hAnsi="Arial" w:cs="Arial"/>
          <w:bCs/>
          <w:lang w:val="es-ES"/>
        </w:rPr>
        <w:t>ario</w:t>
      </w:r>
      <w:r w:rsidRPr="00830908">
        <w:rPr>
          <w:rFonts w:ascii="Arial" w:hAnsi="Arial" w:cs="Arial"/>
          <w:bCs/>
          <w:lang w:val="es-ES"/>
        </w:rPr>
        <w:t>s en contacto con los alimentos"</w:t>
      </w:r>
      <w:r w:rsidR="00B408A5" w:rsidRPr="00830908">
        <w:rPr>
          <w:rFonts w:ascii="Arial" w:hAnsi="Arial" w:cs="Arial"/>
        </w:rPr>
        <w:t xml:space="preserve"> </w:t>
      </w:r>
      <w:r w:rsidRPr="00830908">
        <w:rPr>
          <w:rFonts w:ascii="Arial" w:hAnsi="Arial" w:cs="Arial"/>
          <w:bCs/>
          <w:lang w:val="es-ES"/>
        </w:rPr>
        <w:t>esta</w:t>
      </w:r>
      <w:r w:rsidR="00DC0900" w:rsidRPr="00830908">
        <w:rPr>
          <w:rFonts w:ascii="Arial" w:hAnsi="Arial" w:cs="Arial"/>
          <w:bCs/>
          <w:lang w:val="es-ES"/>
        </w:rPr>
        <w:t xml:space="preserve">blece que los envases y </w:t>
      </w:r>
      <w:r w:rsidRPr="00830908">
        <w:rPr>
          <w:rFonts w:ascii="Arial" w:hAnsi="Arial" w:cs="Arial"/>
          <w:bCs/>
          <w:lang w:val="es-ES"/>
        </w:rPr>
        <w:t xml:space="preserve">equipamientos de plástico en contacto con los alimentos deben cumplir con los requisitos establecidos en un Reglamento Técnico </w:t>
      </w:r>
      <w:r w:rsidR="00DC0900" w:rsidRPr="00830908">
        <w:rPr>
          <w:rFonts w:ascii="Arial" w:hAnsi="Arial" w:cs="Arial"/>
          <w:bCs/>
          <w:lang w:val="es-ES"/>
        </w:rPr>
        <w:t>MERCOSUR específico.</w:t>
      </w:r>
      <w:r w:rsidRPr="00830908">
        <w:rPr>
          <w:rFonts w:ascii="Arial" w:hAnsi="Arial" w:cs="Arial"/>
          <w:bCs/>
          <w:lang w:val="es-ES"/>
        </w:rPr>
        <w:t xml:space="preserve"> </w:t>
      </w:r>
    </w:p>
    <w:p w14:paraId="1EE85332" w14:textId="77777777" w:rsidR="00DC0900" w:rsidRPr="00830908" w:rsidRDefault="00DC0900" w:rsidP="00DC0900">
      <w:pPr>
        <w:pStyle w:val="Default"/>
        <w:rPr>
          <w:rFonts w:ascii="Arial" w:hAnsi="Arial" w:cs="Arial"/>
          <w:lang w:val="es-ES"/>
        </w:rPr>
      </w:pPr>
    </w:p>
    <w:p w14:paraId="51CC557E" w14:textId="77777777" w:rsidR="00040E30" w:rsidRPr="00830908" w:rsidRDefault="00040E30" w:rsidP="009D7C2D">
      <w:pPr>
        <w:pStyle w:val="CM15"/>
        <w:spacing w:after="0"/>
        <w:jc w:val="both"/>
        <w:rPr>
          <w:rFonts w:ascii="Arial" w:hAnsi="Arial" w:cs="Arial"/>
          <w:bCs/>
          <w:lang w:val="es-ES"/>
        </w:rPr>
      </w:pPr>
      <w:r w:rsidRPr="00830908">
        <w:rPr>
          <w:rFonts w:ascii="Arial" w:hAnsi="Arial" w:cs="Arial"/>
          <w:lang w:val="es-ES"/>
        </w:rPr>
        <w:t xml:space="preserve">Que se considera conveniente </w:t>
      </w:r>
      <w:r w:rsidR="00C46A72">
        <w:rPr>
          <w:rFonts w:ascii="Arial" w:hAnsi="Arial" w:cs="Arial"/>
          <w:lang w:val="es-ES"/>
        </w:rPr>
        <w:t>modific</w:t>
      </w:r>
      <w:r w:rsidRPr="00C46A72">
        <w:rPr>
          <w:rFonts w:ascii="Arial" w:hAnsi="Arial" w:cs="Arial"/>
          <w:lang w:val="es-ES"/>
        </w:rPr>
        <w:t>ar</w:t>
      </w:r>
      <w:r w:rsidRPr="00830908">
        <w:rPr>
          <w:rFonts w:ascii="Arial" w:hAnsi="Arial" w:cs="Arial"/>
          <w:lang w:val="es-ES"/>
        </w:rPr>
        <w:t xml:space="preserve"> </w:t>
      </w:r>
      <w:r w:rsidR="00B408A5" w:rsidRPr="00830908">
        <w:rPr>
          <w:rFonts w:ascii="Arial" w:hAnsi="Arial" w:cs="Arial"/>
          <w:lang w:val="es-ES"/>
        </w:rPr>
        <w:t>l</w:t>
      </w:r>
      <w:r w:rsidRPr="00830908">
        <w:rPr>
          <w:rFonts w:ascii="Arial" w:hAnsi="Arial" w:cs="Arial"/>
          <w:lang w:val="es-ES"/>
        </w:rPr>
        <w:t>a Resolución GMC Nº 56/92 “</w:t>
      </w:r>
      <w:r w:rsidR="00830908" w:rsidRPr="00830908">
        <w:rPr>
          <w:rFonts w:ascii="Arial" w:hAnsi="Arial" w:cs="Arial"/>
          <w:bCs/>
          <w:lang w:val="es-ES"/>
        </w:rPr>
        <w:t xml:space="preserve">Disposiciones generales para envases y </w:t>
      </w:r>
      <w:r w:rsidR="002E4496" w:rsidRPr="00830908">
        <w:rPr>
          <w:rFonts w:ascii="Arial" w:hAnsi="Arial" w:cs="Arial"/>
          <w:bCs/>
          <w:lang w:val="es-ES"/>
        </w:rPr>
        <w:t>equipamientos plásticos</w:t>
      </w:r>
      <w:r w:rsidR="00830908" w:rsidRPr="00830908">
        <w:rPr>
          <w:rFonts w:ascii="Arial" w:hAnsi="Arial" w:cs="Arial"/>
          <w:bCs/>
          <w:lang w:val="es-ES"/>
        </w:rPr>
        <w:t xml:space="preserve"> en contacto con alimentos</w:t>
      </w:r>
      <w:r w:rsidRPr="00830908">
        <w:rPr>
          <w:rFonts w:ascii="Arial" w:hAnsi="Arial" w:cs="Arial"/>
          <w:bCs/>
          <w:lang w:val="es-ES"/>
        </w:rPr>
        <w:t>”.</w:t>
      </w:r>
      <w:r w:rsidR="00830908" w:rsidRPr="00830908">
        <w:rPr>
          <w:rFonts w:ascii="Arial" w:hAnsi="Arial" w:cs="Arial"/>
        </w:rPr>
        <w:t xml:space="preserve"> </w:t>
      </w:r>
    </w:p>
    <w:p w14:paraId="26F8A2AF" w14:textId="77777777" w:rsidR="00A06E5E" w:rsidRPr="00830908" w:rsidRDefault="00A06E5E" w:rsidP="009D7C2D">
      <w:pPr>
        <w:pStyle w:val="Default"/>
        <w:rPr>
          <w:rFonts w:ascii="Arial" w:hAnsi="Arial" w:cs="Arial"/>
          <w:lang w:val="es-ES"/>
        </w:rPr>
      </w:pPr>
    </w:p>
    <w:p w14:paraId="2B85DA3C" w14:textId="77777777" w:rsidR="0035322A" w:rsidRPr="00830908" w:rsidRDefault="0035322A" w:rsidP="009D7C2D">
      <w:pPr>
        <w:pStyle w:val="CM14"/>
        <w:spacing w:after="0" w:line="276" w:lineRule="atLeast"/>
        <w:jc w:val="center"/>
        <w:rPr>
          <w:rFonts w:ascii="Arial" w:hAnsi="Arial" w:cs="Arial"/>
          <w:b/>
          <w:bCs/>
          <w:lang w:val="es-ES"/>
        </w:rPr>
      </w:pPr>
    </w:p>
    <w:p w14:paraId="4911EE49" w14:textId="77777777" w:rsidR="0035322A" w:rsidRPr="00830908" w:rsidRDefault="0035322A" w:rsidP="009D7C2D">
      <w:pPr>
        <w:pStyle w:val="CM14"/>
        <w:spacing w:after="0" w:line="276" w:lineRule="atLeast"/>
        <w:jc w:val="center"/>
        <w:rPr>
          <w:rFonts w:ascii="Arial" w:hAnsi="Arial" w:cs="Arial"/>
          <w:b/>
          <w:bCs/>
          <w:lang w:val="es-ES"/>
        </w:rPr>
      </w:pPr>
      <w:r w:rsidRPr="00830908">
        <w:rPr>
          <w:rFonts w:ascii="Arial" w:hAnsi="Arial" w:cs="Arial"/>
          <w:b/>
          <w:bCs/>
          <w:lang w:val="es-ES"/>
        </w:rPr>
        <w:t>EL GRUPO DE MERCADO COMÚN</w:t>
      </w:r>
    </w:p>
    <w:p w14:paraId="4FEF5317" w14:textId="77777777" w:rsidR="0035322A" w:rsidRPr="00830908" w:rsidRDefault="0035322A" w:rsidP="009D7C2D">
      <w:pPr>
        <w:pStyle w:val="CM14"/>
        <w:spacing w:after="0" w:line="276" w:lineRule="atLeast"/>
        <w:jc w:val="center"/>
        <w:rPr>
          <w:rFonts w:ascii="Arial" w:hAnsi="Arial" w:cs="Arial"/>
          <w:b/>
          <w:bCs/>
          <w:lang w:val="es-ES"/>
        </w:rPr>
      </w:pPr>
      <w:r w:rsidRPr="00830908">
        <w:rPr>
          <w:rFonts w:ascii="Arial" w:hAnsi="Arial" w:cs="Arial"/>
          <w:b/>
          <w:bCs/>
          <w:lang w:val="es-ES"/>
        </w:rPr>
        <w:t>RESUELVE:</w:t>
      </w:r>
    </w:p>
    <w:p w14:paraId="2B537AC4" w14:textId="77777777" w:rsidR="00830908" w:rsidRPr="00830908" w:rsidRDefault="00830908" w:rsidP="00830908">
      <w:pPr>
        <w:pStyle w:val="Default"/>
        <w:rPr>
          <w:rFonts w:ascii="Arial" w:hAnsi="Arial" w:cs="Arial"/>
          <w:lang w:val="es-ES"/>
        </w:rPr>
      </w:pPr>
    </w:p>
    <w:p w14:paraId="3C9969C6" w14:textId="77777777" w:rsidR="0035322A" w:rsidRPr="00830908" w:rsidRDefault="0035322A" w:rsidP="009D7C2D">
      <w:pPr>
        <w:pStyle w:val="CM14"/>
        <w:spacing w:after="0" w:line="276" w:lineRule="atLeast"/>
        <w:jc w:val="center"/>
        <w:rPr>
          <w:rFonts w:ascii="Arial" w:hAnsi="Arial" w:cs="Arial"/>
          <w:b/>
          <w:bCs/>
          <w:lang w:val="es-ES"/>
        </w:rPr>
      </w:pPr>
    </w:p>
    <w:p w14:paraId="647BB016" w14:textId="17469A84" w:rsidR="002E4496" w:rsidRPr="00830908" w:rsidRDefault="0035322A" w:rsidP="002E4496">
      <w:pPr>
        <w:jc w:val="both"/>
        <w:rPr>
          <w:rFonts w:ascii="Arial" w:hAnsi="Arial" w:cs="Arial"/>
          <w:snapToGrid w:val="0"/>
          <w:lang w:val="es-ES"/>
        </w:rPr>
      </w:pPr>
      <w:r w:rsidRPr="00830908">
        <w:rPr>
          <w:rFonts w:ascii="Arial" w:hAnsi="Arial" w:cs="Arial"/>
          <w:bCs/>
          <w:lang w:val="es-ES"/>
        </w:rPr>
        <w:t xml:space="preserve">Art. 1 - </w:t>
      </w:r>
      <w:r w:rsidR="002E4496" w:rsidRPr="00830908">
        <w:rPr>
          <w:rFonts w:ascii="Arial" w:hAnsi="Arial" w:cs="Arial"/>
          <w:snapToGrid w:val="0"/>
          <w:lang w:val="es-ES"/>
        </w:rPr>
        <w:t>Sustituir el ítem 5 del Anexo de la Res</w:t>
      </w:r>
      <w:r w:rsidR="002E4496">
        <w:rPr>
          <w:rFonts w:ascii="Arial" w:hAnsi="Arial" w:cs="Arial"/>
          <w:snapToGrid w:val="0"/>
          <w:lang w:val="es-ES"/>
        </w:rPr>
        <w:t xml:space="preserve">olución </w:t>
      </w:r>
      <w:r w:rsidR="002E4496" w:rsidRPr="00830908">
        <w:rPr>
          <w:rFonts w:ascii="Arial" w:hAnsi="Arial" w:cs="Arial"/>
          <w:snapToGrid w:val="0"/>
          <w:lang w:val="es-ES"/>
        </w:rPr>
        <w:t>GMC Nº 56/92 por el siguiente texto:</w:t>
      </w:r>
    </w:p>
    <w:p w14:paraId="781F300E" w14:textId="77777777" w:rsidR="002E4496" w:rsidRPr="00830908" w:rsidRDefault="002E4496" w:rsidP="002E4496">
      <w:pPr>
        <w:jc w:val="both"/>
        <w:rPr>
          <w:rFonts w:ascii="Arial" w:hAnsi="Arial" w:cs="Arial"/>
          <w:snapToGrid w:val="0"/>
          <w:lang w:val="es-ES"/>
        </w:rPr>
      </w:pPr>
    </w:p>
    <w:p w14:paraId="5F8370C9" w14:textId="77777777" w:rsidR="002E4496" w:rsidRPr="00830908" w:rsidRDefault="002E4496" w:rsidP="00F01F3A">
      <w:pPr>
        <w:pStyle w:val="Corpo"/>
        <w:ind w:left="142" w:right="425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“5. Los envases, equipamientos plásticos y revestimientos en las condiciones previsibles de uso, no cederán a los alimentos sustancias indeseables, tóxicas o contaminantes, que representen un riesgo para la salud humana, en cantidades superiores a los límites de migración total y específica.</w:t>
      </w:r>
    </w:p>
    <w:p w14:paraId="508AB7D8" w14:textId="77777777" w:rsidR="002E4496" w:rsidRPr="00830908" w:rsidRDefault="002E4496" w:rsidP="00F01F3A">
      <w:pPr>
        <w:pStyle w:val="Corpo"/>
        <w:ind w:left="142" w:right="425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</w:p>
    <w:p w14:paraId="74BBB7BA" w14:textId="77777777" w:rsidR="002E4496" w:rsidRPr="00830908" w:rsidRDefault="002E4496" w:rsidP="00F01F3A">
      <w:pPr>
        <w:pStyle w:val="Corpo"/>
        <w:ind w:left="142" w:right="425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Los límites de migración total (LMT) que deberán cumplir todos los envases y equipamientos plásticos en contacto con alimentos son los siguientes:</w:t>
      </w:r>
    </w:p>
    <w:p w14:paraId="608447BD" w14:textId="77777777" w:rsidR="002E4496" w:rsidRPr="00830908" w:rsidRDefault="002E4496" w:rsidP="002E4496">
      <w:pPr>
        <w:pStyle w:val="Corpo"/>
        <w:ind w:left="709" w:right="424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</w:p>
    <w:p w14:paraId="4DC11086" w14:textId="77777777" w:rsidR="002E4496" w:rsidRPr="00830908" w:rsidRDefault="002E4496" w:rsidP="002E4496">
      <w:pPr>
        <w:pStyle w:val="Corpo"/>
        <w:ind w:left="709" w:right="424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5.1. Los envases y equipamientos plásticos no cederán sustancias no volátiles a los simulantes de alimentos en cantidades superiores a 10 miligramos por decímetro cuadrado de área de la superficie de contacto (mg/dm</w:t>
      </w: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vertAlign w:val="superscript"/>
          <w:lang w:val="es-ES" w:eastAsia="es-ES"/>
        </w:rPr>
        <w:t>2</w:t>
      </w: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), LMT = 10 mg/dm</w:t>
      </w: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vertAlign w:val="superscript"/>
          <w:lang w:val="es-ES" w:eastAsia="es-ES"/>
        </w:rPr>
        <w:t>2</w:t>
      </w: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.</w:t>
      </w:r>
    </w:p>
    <w:p w14:paraId="02A3CFFB" w14:textId="77777777" w:rsidR="002E4496" w:rsidRPr="00830908" w:rsidRDefault="002E4496" w:rsidP="002E4496">
      <w:pPr>
        <w:pStyle w:val="Corpo"/>
        <w:ind w:left="709" w:right="424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</w:p>
    <w:p w14:paraId="616E87DB" w14:textId="77777777" w:rsidR="002E4496" w:rsidRPr="002E4496" w:rsidRDefault="002E4496" w:rsidP="00F01F3A">
      <w:pPr>
        <w:pStyle w:val="Corpo"/>
        <w:ind w:left="709" w:right="425"/>
        <w:jc w:val="both"/>
        <w:rPr>
          <w:rFonts w:ascii="Arial" w:hAnsi="Arial" w:cs="Arial"/>
          <w:lang w:val="es-UY"/>
        </w:rPr>
      </w:pP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lastRenderedPageBreak/>
        <w:t>5.2. No obstante lo dispuesto en 5.1., para los envases y equipamientos plásticos con volumen definido, el valor del ensayo de migración total puede ser expresado en mg/kg, considerando la relación real entre el área de la superficie de contacto y la masa de alimento (=S/V).</w:t>
      </w:r>
      <w:r w:rsidRPr="002E4496">
        <w:rPr>
          <w:rFonts w:ascii="Arial" w:hAnsi="Arial" w:cs="Arial"/>
          <w:lang w:val="es-UY"/>
        </w:rPr>
        <w:t xml:space="preserve"> </w:t>
      </w: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 xml:space="preserve">En este caso los envases y equipamientos no cederán sustancias no volátiles a los simulantes de alimentos en cantidades superiores a 60 miligramos por kilogramo </w:t>
      </w:r>
      <w:r w:rsidRPr="00C46A72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de simulante</w:t>
      </w: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, LMT = 60</w:t>
      </w:r>
      <w:r w:rsidR="00C403F5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 xml:space="preserve"> </w:t>
      </w: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mg/kg.</w:t>
      </w:r>
      <w:r w:rsidRPr="002E4496">
        <w:rPr>
          <w:rFonts w:ascii="Arial" w:hAnsi="Arial" w:cs="Arial"/>
          <w:lang w:val="es-UY"/>
        </w:rPr>
        <w:t xml:space="preserve"> </w:t>
      </w:r>
    </w:p>
    <w:p w14:paraId="685EB4D3" w14:textId="77777777" w:rsidR="002E4496" w:rsidRPr="00830908" w:rsidRDefault="002E4496" w:rsidP="00F01F3A">
      <w:pPr>
        <w:pStyle w:val="Corpo"/>
        <w:ind w:left="709" w:right="425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</w:p>
    <w:p w14:paraId="144BF273" w14:textId="77777777" w:rsidR="002E4496" w:rsidRPr="00830908" w:rsidRDefault="002E4496" w:rsidP="00F01F3A">
      <w:pPr>
        <w:pStyle w:val="Corpo"/>
        <w:ind w:left="709" w:right="425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5.3. No obstante lo dispuesto en 5.1., los envases y equipamientos plásticos destinados a entrar en contacto con alimentos para lactantes y niños menores de tres años, no cederán sustancias no volátiles a los simulantes de alimentos en cantidades superiores a 60 miligramos por kilogramo de simulante alimentario, LMT = 60mg/kg.</w:t>
      </w:r>
    </w:p>
    <w:p w14:paraId="40A0D98E" w14:textId="77777777" w:rsidR="002E4496" w:rsidRPr="00830908" w:rsidRDefault="002E4496" w:rsidP="002E4496">
      <w:pPr>
        <w:pStyle w:val="Corpo"/>
        <w:ind w:left="709" w:right="424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</w:p>
    <w:p w14:paraId="75C6E3C4" w14:textId="77777777" w:rsidR="002E4496" w:rsidRPr="00830908" w:rsidRDefault="002E4496" w:rsidP="002E4496">
      <w:pPr>
        <w:pStyle w:val="Corpo"/>
        <w:ind w:left="709" w:right="424"/>
        <w:jc w:val="both"/>
        <w:rPr>
          <w:rFonts w:ascii="Arial" w:hAnsi="Arial" w:cs="Arial"/>
          <w:i/>
          <w:snapToGrid w:val="0"/>
          <w:color w:val="auto"/>
          <w:lang w:val="es-ES"/>
        </w:rPr>
      </w:pPr>
      <w:r w:rsidRPr="00830908">
        <w:rPr>
          <w:rFonts w:ascii="Arial" w:hAnsi="Arial" w:cs="Arial"/>
          <w:i/>
          <w:snapToGrid w:val="0"/>
          <w:color w:val="auto"/>
          <w:lang w:val="es-ES"/>
        </w:rPr>
        <w:t xml:space="preserve">5.4. En el caso de elementos como tapas, juntas, tapones y otros sistemas de cierre, el valor de la migración total se expresará en: </w:t>
      </w:r>
    </w:p>
    <w:p w14:paraId="6A1CC578" w14:textId="77777777" w:rsidR="002E4496" w:rsidRPr="00830908" w:rsidRDefault="002E4496" w:rsidP="00F01F3A">
      <w:pPr>
        <w:pStyle w:val="Corpo"/>
        <w:ind w:left="1276"/>
        <w:jc w:val="both"/>
        <w:rPr>
          <w:rFonts w:ascii="Arial" w:hAnsi="Arial" w:cs="Arial"/>
          <w:i/>
          <w:snapToGrid w:val="0"/>
          <w:color w:val="auto"/>
          <w:lang w:val="es-ES"/>
        </w:rPr>
      </w:pPr>
    </w:p>
    <w:p w14:paraId="6CD082C1" w14:textId="77777777" w:rsidR="002E4496" w:rsidRPr="00830908" w:rsidRDefault="002E4496" w:rsidP="00F01F3A">
      <w:pPr>
        <w:pStyle w:val="Corpo"/>
        <w:ind w:left="1276"/>
        <w:jc w:val="both"/>
        <w:rPr>
          <w:rFonts w:ascii="Arial" w:hAnsi="Arial" w:cs="Arial"/>
          <w:i/>
          <w:snapToGrid w:val="0"/>
          <w:color w:val="auto"/>
          <w:lang w:val="es-ES"/>
        </w:rPr>
      </w:pPr>
      <w:r w:rsidRPr="00830908">
        <w:rPr>
          <w:rFonts w:ascii="Arial" w:hAnsi="Arial" w:cs="Arial"/>
          <w:i/>
          <w:snapToGrid w:val="0"/>
          <w:color w:val="auto"/>
          <w:lang w:val="es-ES"/>
        </w:rPr>
        <w:t>a) mg/kg usando el volumen real del recipiente (=masa del alimento contenido) al que se destina el sistema de cierre, si fuera conocida la utilización prevista para el objeto. La migración total del sistema de cierre y del recipiente no debe ser superior a LMT= 60 mg/kg.</w:t>
      </w:r>
    </w:p>
    <w:p w14:paraId="1635111D" w14:textId="77777777" w:rsidR="002E4496" w:rsidRPr="00830908" w:rsidRDefault="002E4496" w:rsidP="00F01F3A">
      <w:pPr>
        <w:pStyle w:val="Ttulo2"/>
        <w:shd w:val="clear" w:color="auto" w:fill="FFFFFF"/>
        <w:spacing w:before="0"/>
        <w:ind w:left="1276"/>
        <w:jc w:val="both"/>
        <w:rPr>
          <w:rFonts w:ascii="Arial" w:hAnsi="Arial" w:cs="Arial"/>
          <w:i/>
          <w:snapToGrid w:val="0"/>
          <w:color w:val="auto"/>
          <w:sz w:val="24"/>
          <w:szCs w:val="24"/>
          <w:u w:color="000000"/>
          <w:lang w:val="es-ES"/>
        </w:rPr>
      </w:pPr>
    </w:p>
    <w:p w14:paraId="0CDE47B3" w14:textId="77777777" w:rsidR="002E4496" w:rsidRPr="00830908" w:rsidRDefault="002E4496" w:rsidP="00F01F3A">
      <w:pPr>
        <w:pStyle w:val="Ttulo2"/>
        <w:shd w:val="clear" w:color="auto" w:fill="FFFFFF"/>
        <w:spacing w:before="0"/>
        <w:ind w:left="1276"/>
        <w:jc w:val="both"/>
        <w:rPr>
          <w:rFonts w:ascii="Arial" w:hAnsi="Arial" w:cs="Arial"/>
          <w:i/>
          <w:snapToGrid w:val="0"/>
          <w:color w:val="auto"/>
          <w:sz w:val="24"/>
          <w:szCs w:val="24"/>
          <w:u w:color="000000"/>
          <w:lang w:val="es-ES"/>
        </w:rPr>
      </w:pPr>
      <w:r w:rsidRPr="00830908">
        <w:rPr>
          <w:rFonts w:ascii="Arial" w:hAnsi="Arial" w:cs="Arial"/>
          <w:i/>
          <w:snapToGrid w:val="0"/>
          <w:color w:val="auto"/>
          <w:sz w:val="24"/>
          <w:szCs w:val="24"/>
          <w:u w:color="000000"/>
          <w:lang w:val="es-ES"/>
        </w:rPr>
        <w:t>b) mg/objeto, si se desconoce el uso previsto del elemento. En este caso, la conformidad del límite de migración total solamente podrá ser establecida caso a caso considerando el uso final del objeto.</w:t>
      </w:r>
    </w:p>
    <w:p w14:paraId="4671606A" w14:textId="77777777" w:rsidR="002E4496" w:rsidRPr="00830908" w:rsidRDefault="002E4496" w:rsidP="00F01F3A">
      <w:pPr>
        <w:ind w:left="851"/>
        <w:rPr>
          <w:rFonts w:ascii="Arial" w:hAnsi="Arial" w:cs="Arial"/>
          <w:lang w:val="es-ES"/>
        </w:rPr>
      </w:pPr>
    </w:p>
    <w:p w14:paraId="068C99CE" w14:textId="77777777" w:rsidR="002E4496" w:rsidRPr="00830908" w:rsidRDefault="002E4496" w:rsidP="00F01F3A">
      <w:pPr>
        <w:ind w:left="851"/>
        <w:jc w:val="both"/>
        <w:rPr>
          <w:rFonts w:ascii="Arial" w:hAnsi="Arial" w:cs="Arial"/>
          <w:i/>
          <w:lang w:val="es-ES"/>
        </w:rPr>
      </w:pPr>
      <w:r w:rsidRPr="00830908">
        <w:rPr>
          <w:rFonts w:ascii="Arial" w:hAnsi="Arial" w:cs="Arial"/>
          <w:i/>
          <w:lang w:val="es-ES"/>
        </w:rPr>
        <w:t>5.5. En el caso de revestimientos que se apliquen en recipientes con volumen menor a 25 L, la migración total se expresará de acuerdo a lo establecido en los ítems 5.1. al 5.4.</w:t>
      </w:r>
    </w:p>
    <w:p w14:paraId="5AF51866" w14:textId="77777777" w:rsidR="002E4496" w:rsidRPr="00830908" w:rsidRDefault="002E4496" w:rsidP="00F01F3A">
      <w:pPr>
        <w:ind w:left="851"/>
        <w:rPr>
          <w:rFonts w:ascii="Arial" w:hAnsi="Arial" w:cs="Arial"/>
          <w:i/>
          <w:lang w:val="es-ES"/>
        </w:rPr>
      </w:pPr>
    </w:p>
    <w:p w14:paraId="07B5F379" w14:textId="77777777" w:rsidR="002E4496" w:rsidRPr="00830908" w:rsidRDefault="002E4496" w:rsidP="00F01F3A">
      <w:pPr>
        <w:ind w:left="851"/>
        <w:jc w:val="both"/>
        <w:rPr>
          <w:rFonts w:ascii="Arial" w:hAnsi="Arial" w:cs="Arial"/>
          <w:i/>
          <w:snapToGrid w:val="0"/>
          <w:u w:color="000000"/>
          <w:lang w:val="es-ES"/>
        </w:rPr>
      </w:pPr>
      <w:r w:rsidRPr="00830908">
        <w:rPr>
          <w:rFonts w:ascii="Arial" w:hAnsi="Arial" w:cs="Arial"/>
          <w:i/>
          <w:snapToGrid w:val="0"/>
          <w:u w:color="000000"/>
          <w:lang w:val="es-ES"/>
        </w:rPr>
        <w:t>5.6. En el caso de revestimientos que se apliquen en contenedores con volumen mayores o igual a 25 L y menor o igual a 10000 L, la migración total se expresará en mg/kg, aplicando para el cálculo un factor de relación área de la superficie de contacto/masa de alimento S/V = 2 dm</w:t>
      </w:r>
      <w:r w:rsidRPr="00830908">
        <w:rPr>
          <w:rFonts w:ascii="Arial" w:hAnsi="Arial" w:cs="Arial"/>
          <w:i/>
          <w:snapToGrid w:val="0"/>
          <w:u w:color="000000"/>
          <w:vertAlign w:val="superscript"/>
          <w:lang w:val="es-ES"/>
        </w:rPr>
        <w:t>2</w:t>
      </w:r>
      <w:r w:rsidRPr="00830908">
        <w:rPr>
          <w:rFonts w:ascii="Arial" w:hAnsi="Arial" w:cs="Arial"/>
          <w:i/>
          <w:snapToGrid w:val="0"/>
          <w:u w:color="000000"/>
          <w:lang w:val="es-ES"/>
        </w:rPr>
        <w:t xml:space="preserve">/kg, tomando como LMT = 60mg/kg. </w:t>
      </w:r>
    </w:p>
    <w:p w14:paraId="6A4A2A71" w14:textId="77777777" w:rsidR="002E4496" w:rsidRPr="00830908" w:rsidRDefault="002E4496" w:rsidP="00F01F3A">
      <w:pPr>
        <w:ind w:left="851"/>
        <w:jc w:val="both"/>
        <w:rPr>
          <w:rFonts w:ascii="Arial" w:hAnsi="Arial" w:cs="Arial"/>
          <w:i/>
          <w:snapToGrid w:val="0"/>
          <w:u w:color="000000"/>
          <w:lang w:val="es-ES"/>
        </w:rPr>
      </w:pPr>
    </w:p>
    <w:p w14:paraId="3A4B27D0" w14:textId="77777777" w:rsidR="002E4496" w:rsidRPr="00830908" w:rsidRDefault="002E4496" w:rsidP="00F01F3A">
      <w:pPr>
        <w:ind w:left="851"/>
        <w:jc w:val="both"/>
        <w:rPr>
          <w:rFonts w:ascii="Arial" w:hAnsi="Arial" w:cs="Arial"/>
          <w:i/>
          <w:snapToGrid w:val="0"/>
          <w:u w:color="000000"/>
          <w:lang w:val="es-ES"/>
        </w:rPr>
      </w:pPr>
      <w:r w:rsidRPr="00830908">
        <w:rPr>
          <w:rFonts w:ascii="Arial" w:hAnsi="Arial" w:cs="Arial"/>
          <w:i/>
          <w:snapToGrid w:val="0"/>
          <w:u w:color="000000"/>
          <w:lang w:val="es-ES"/>
        </w:rPr>
        <w:t>5.7. En el caso de revestimientos que se apliquen en recipientes contenedores con volumen mayor a 10000 L, la migración total se expresará en mg/kg, aplicando para el cálculo un factor de relación área de la superficie de contacto/masa de alimento S/V = 0,3 dm</w:t>
      </w:r>
      <w:r w:rsidRPr="00830908">
        <w:rPr>
          <w:rFonts w:ascii="Arial" w:hAnsi="Arial" w:cs="Arial"/>
          <w:i/>
          <w:snapToGrid w:val="0"/>
          <w:u w:color="000000"/>
          <w:vertAlign w:val="superscript"/>
          <w:lang w:val="es-ES"/>
        </w:rPr>
        <w:t>2</w:t>
      </w:r>
      <w:r w:rsidRPr="00830908">
        <w:rPr>
          <w:rFonts w:ascii="Arial" w:hAnsi="Arial" w:cs="Arial"/>
          <w:i/>
          <w:snapToGrid w:val="0"/>
          <w:u w:color="000000"/>
          <w:lang w:val="es-ES"/>
        </w:rPr>
        <w:t>/kg, tomando como LMT = 60 mg/kg.</w:t>
      </w:r>
    </w:p>
    <w:p w14:paraId="70432C94" w14:textId="77777777" w:rsidR="002E4496" w:rsidRPr="00830908" w:rsidRDefault="002E4496" w:rsidP="00F01F3A">
      <w:pPr>
        <w:ind w:left="851"/>
        <w:jc w:val="both"/>
        <w:rPr>
          <w:rFonts w:ascii="Arial" w:hAnsi="Arial" w:cs="Arial"/>
          <w:i/>
          <w:snapToGrid w:val="0"/>
          <w:u w:color="000000"/>
          <w:lang w:val="es-ES"/>
        </w:rPr>
      </w:pPr>
    </w:p>
    <w:p w14:paraId="5C1217AF" w14:textId="77777777" w:rsidR="002E4496" w:rsidRPr="00830908" w:rsidRDefault="002E4496" w:rsidP="00F01F3A">
      <w:pPr>
        <w:ind w:left="851"/>
        <w:jc w:val="both"/>
        <w:rPr>
          <w:rFonts w:ascii="Arial" w:hAnsi="Arial" w:cs="Arial"/>
          <w:i/>
          <w:snapToGrid w:val="0"/>
          <w:u w:color="000000"/>
          <w:lang w:val="es-ES"/>
        </w:rPr>
      </w:pPr>
      <w:r w:rsidRPr="00830908">
        <w:rPr>
          <w:rFonts w:ascii="Arial" w:hAnsi="Arial" w:cs="Arial"/>
          <w:i/>
          <w:snapToGrid w:val="0"/>
          <w:u w:color="000000"/>
          <w:lang w:val="es-ES"/>
        </w:rPr>
        <w:t>5.8. En el caso de revestimientos que se apliquen a caños o mangueras utilizados para transporte continuo de líquidos, la migración se expresará en mg/kg, aplicando para el cálculo un factor de relación área de la superficie de contacto/masa de alimento S/V= 0,1 dm</w:t>
      </w:r>
      <w:r w:rsidRPr="00830908">
        <w:rPr>
          <w:rFonts w:ascii="Arial" w:hAnsi="Arial" w:cs="Arial"/>
          <w:i/>
          <w:snapToGrid w:val="0"/>
          <w:u w:color="000000"/>
          <w:vertAlign w:val="superscript"/>
          <w:lang w:val="es-ES"/>
        </w:rPr>
        <w:t>2</w:t>
      </w:r>
      <w:r w:rsidRPr="00830908">
        <w:rPr>
          <w:rFonts w:ascii="Arial" w:hAnsi="Arial" w:cs="Arial"/>
          <w:i/>
          <w:snapToGrid w:val="0"/>
          <w:u w:color="000000"/>
          <w:lang w:val="es-ES"/>
        </w:rPr>
        <w:t xml:space="preserve">/kg, tomando como LMT = 60 mg/kg”. </w:t>
      </w:r>
    </w:p>
    <w:p w14:paraId="3D238066" w14:textId="77777777" w:rsidR="0035322A" w:rsidRPr="00830908" w:rsidRDefault="0035322A" w:rsidP="002E4496">
      <w:pPr>
        <w:pStyle w:val="CM15"/>
        <w:spacing w:after="0"/>
        <w:ind w:right="424"/>
        <w:jc w:val="both"/>
        <w:rPr>
          <w:rFonts w:ascii="Arial" w:hAnsi="Arial" w:cs="Arial"/>
          <w:bCs/>
          <w:lang w:val="es-ES"/>
        </w:rPr>
      </w:pPr>
    </w:p>
    <w:p w14:paraId="16018B25" w14:textId="77777777" w:rsidR="00040E30" w:rsidRPr="00830908" w:rsidRDefault="00040E30" w:rsidP="009D7C2D">
      <w:pPr>
        <w:pStyle w:val="Default"/>
        <w:rPr>
          <w:rFonts w:ascii="Arial" w:hAnsi="Arial" w:cs="Arial"/>
          <w:lang w:val="es-ES"/>
        </w:rPr>
      </w:pPr>
    </w:p>
    <w:p w14:paraId="5443C5DC" w14:textId="0AA26B56" w:rsidR="002E4496" w:rsidRPr="00830908" w:rsidRDefault="002E4496" w:rsidP="002E4496">
      <w:pPr>
        <w:jc w:val="both"/>
        <w:rPr>
          <w:rFonts w:ascii="Arial" w:hAnsi="Arial" w:cs="Arial"/>
          <w:snapToGrid w:val="0"/>
          <w:lang w:val="es-ES"/>
        </w:rPr>
      </w:pPr>
      <w:r w:rsidRPr="00830908">
        <w:rPr>
          <w:rFonts w:ascii="Arial" w:hAnsi="Arial" w:cs="Arial"/>
          <w:bCs/>
          <w:lang w:val="es-ES"/>
        </w:rPr>
        <w:lastRenderedPageBreak/>
        <w:t>Art. 2 -</w:t>
      </w:r>
      <w:r w:rsidRPr="002E4496">
        <w:rPr>
          <w:rFonts w:ascii="Arial" w:hAnsi="Arial" w:cs="Arial"/>
          <w:snapToGrid w:val="0"/>
          <w:lang w:val="es-ES"/>
        </w:rPr>
        <w:t xml:space="preserve"> </w:t>
      </w:r>
      <w:r w:rsidRPr="00830908">
        <w:rPr>
          <w:rFonts w:ascii="Arial" w:hAnsi="Arial" w:cs="Arial"/>
          <w:snapToGrid w:val="0"/>
          <w:lang w:val="es-ES"/>
        </w:rPr>
        <w:t xml:space="preserve">Sustituir el ítem 7 del Anexo de la </w:t>
      </w:r>
      <w:r w:rsidRPr="00830908">
        <w:rPr>
          <w:rFonts w:ascii="Arial" w:hAnsi="Arial" w:cs="Arial"/>
          <w:bCs/>
          <w:lang w:val="es-ES"/>
        </w:rPr>
        <w:t>Res</w:t>
      </w:r>
      <w:r>
        <w:rPr>
          <w:rFonts w:ascii="Arial" w:hAnsi="Arial" w:cs="Arial"/>
          <w:bCs/>
          <w:lang w:val="es-ES"/>
        </w:rPr>
        <w:t>olución</w:t>
      </w:r>
      <w:r w:rsidRPr="00830908">
        <w:rPr>
          <w:rFonts w:ascii="Arial" w:hAnsi="Arial" w:cs="Arial"/>
          <w:bCs/>
          <w:lang w:val="es-ES"/>
        </w:rPr>
        <w:t xml:space="preserve"> GMC N° 56/92 por el siguiente </w:t>
      </w:r>
      <w:r w:rsidRPr="00830908">
        <w:rPr>
          <w:rFonts w:ascii="Arial" w:hAnsi="Arial" w:cs="Arial"/>
          <w:snapToGrid w:val="0"/>
          <w:lang w:val="es-ES"/>
        </w:rPr>
        <w:t xml:space="preserve">texto: </w:t>
      </w:r>
    </w:p>
    <w:p w14:paraId="470A6456" w14:textId="77777777" w:rsidR="002E4496" w:rsidRPr="00830908" w:rsidRDefault="002E4496" w:rsidP="00F01F3A">
      <w:pPr>
        <w:ind w:left="851" w:hanging="142"/>
        <w:jc w:val="both"/>
        <w:rPr>
          <w:rFonts w:ascii="Arial" w:hAnsi="Arial" w:cs="Arial"/>
          <w:lang w:val="es-ES"/>
        </w:rPr>
      </w:pPr>
    </w:p>
    <w:p w14:paraId="74B801CB" w14:textId="77777777" w:rsidR="002E4496" w:rsidRPr="00830908" w:rsidRDefault="002E4496" w:rsidP="00F01F3A">
      <w:pPr>
        <w:pStyle w:val="Corpo"/>
        <w:ind w:left="851" w:hanging="142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 xml:space="preserve">“7. Para colorear envases </w:t>
      </w:r>
      <w:r w:rsidR="00EE6DFD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y</w:t>
      </w: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 xml:space="preserve"> equipamientos plásticos destinados a entrar en contacto con alimentos se podrán </w:t>
      </w:r>
      <w:r w:rsidRPr="00C46A72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>utilizar</w:t>
      </w:r>
      <w:r w:rsidR="00C46A72" w:rsidRPr="00331D5B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 xml:space="preserve"> todos los tipos</w:t>
      </w:r>
      <w:r w:rsidRPr="00830908"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  <w:t xml:space="preserve"> los colorantes y pigmentos que cumplan con los requisitos establecidos en el Reglamento Técnico MERCOSUR específico.”</w:t>
      </w:r>
    </w:p>
    <w:p w14:paraId="5229BEAF" w14:textId="77777777" w:rsidR="002E4496" w:rsidRPr="00830908" w:rsidRDefault="002E4496" w:rsidP="002E4496">
      <w:pPr>
        <w:pStyle w:val="Corpo"/>
        <w:ind w:right="424"/>
        <w:jc w:val="both"/>
        <w:rPr>
          <w:rFonts w:ascii="Arial" w:hAnsi="Arial" w:cs="Arial"/>
          <w:i/>
          <w:snapToGrid w:val="0"/>
          <w:color w:val="auto"/>
          <w:bdr w:val="none" w:sz="0" w:space="0" w:color="auto"/>
          <w:lang w:val="es-ES" w:eastAsia="es-ES"/>
        </w:rPr>
      </w:pPr>
    </w:p>
    <w:p w14:paraId="268515D2" w14:textId="13FC6A42" w:rsidR="0035322A" w:rsidRPr="00830908" w:rsidRDefault="0035322A" w:rsidP="009D7C2D">
      <w:pPr>
        <w:pStyle w:val="CM14"/>
        <w:spacing w:after="0" w:line="276" w:lineRule="atLeast"/>
        <w:jc w:val="both"/>
        <w:rPr>
          <w:rFonts w:ascii="Arial" w:hAnsi="Arial" w:cs="Arial"/>
          <w:bCs/>
          <w:lang w:val="es-ES"/>
        </w:rPr>
      </w:pPr>
      <w:r w:rsidRPr="00830908">
        <w:rPr>
          <w:rFonts w:ascii="Arial" w:hAnsi="Arial" w:cs="Arial"/>
          <w:bCs/>
          <w:lang w:val="es-ES"/>
        </w:rPr>
        <w:t xml:space="preserve">Art. </w:t>
      </w:r>
      <w:r w:rsidR="002E4496">
        <w:rPr>
          <w:rFonts w:ascii="Arial" w:hAnsi="Arial" w:cs="Arial"/>
          <w:bCs/>
          <w:lang w:val="es-ES"/>
        </w:rPr>
        <w:t>3</w:t>
      </w:r>
      <w:r w:rsidRPr="00830908">
        <w:rPr>
          <w:rFonts w:ascii="Arial" w:hAnsi="Arial" w:cs="Arial"/>
          <w:bCs/>
          <w:lang w:val="es-ES"/>
        </w:rPr>
        <w:t xml:space="preserve"> - Esta Resolución se aplicará en el territorio de los Estados Parte</w:t>
      </w:r>
      <w:r w:rsidR="0010415D" w:rsidRPr="00830908">
        <w:rPr>
          <w:rFonts w:ascii="Arial" w:hAnsi="Arial" w:cs="Arial"/>
          <w:bCs/>
          <w:lang w:val="es-ES"/>
        </w:rPr>
        <w:t>s</w:t>
      </w:r>
      <w:r w:rsidR="00040E30" w:rsidRPr="00830908">
        <w:rPr>
          <w:rFonts w:ascii="Arial" w:hAnsi="Arial" w:cs="Arial"/>
          <w:bCs/>
          <w:lang w:val="es-ES"/>
        </w:rPr>
        <w:t>, al comerci</w:t>
      </w:r>
      <w:r w:rsidRPr="00830908">
        <w:rPr>
          <w:rFonts w:ascii="Arial" w:hAnsi="Arial" w:cs="Arial"/>
          <w:bCs/>
          <w:lang w:val="es-ES"/>
        </w:rPr>
        <w:t xml:space="preserve">o entre ellos y a las importaciones </w:t>
      </w:r>
      <w:r w:rsidR="00A06E5E" w:rsidRPr="00830908">
        <w:rPr>
          <w:rFonts w:ascii="Arial" w:hAnsi="Arial" w:cs="Arial"/>
          <w:bCs/>
          <w:lang w:val="es-ES"/>
        </w:rPr>
        <w:t>extrazona</w:t>
      </w:r>
      <w:r w:rsidRPr="00830908">
        <w:rPr>
          <w:rFonts w:ascii="Arial" w:hAnsi="Arial" w:cs="Arial"/>
          <w:bCs/>
          <w:lang w:val="es-ES"/>
        </w:rPr>
        <w:t>.</w:t>
      </w:r>
    </w:p>
    <w:p w14:paraId="5AA2CF63" w14:textId="77777777" w:rsidR="00A06E5E" w:rsidRPr="00830908" w:rsidRDefault="00A06E5E" w:rsidP="009D7C2D">
      <w:pPr>
        <w:pStyle w:val="Default"/>
        <w:rPr>
          <w:rFonts w:ascii="Arial" w:hAnsi="Arial" w:cs="Arial"/>
          <w:lang w:val="es-ES"/>
        </w:rPr>
      </w:pPr>
    </w:p>
    <w:p w14:paraId="32FAE85A" w14:textId="5585194D" w:rsidR="0035322A" w:rsidRPr="00830908" w:rsidRDefault="0035322A" w:rsidP="009D7C2D">
      <w:pPr>
        <w:pStyle w:val="CM14"/>
        <w:spacing w:after="0" w:line="276" w:lineRule="atLeast"/>
        <w:jc w:val="both"/>
        <w:rPr>
          <w:rFonts w:ascii="Arial" w:hAnsi="Arial" w:cs="Arial"/>
          <w:bCs/>
          <w:lang w:val="es-ES"/>
        </w:rPr>
      </w:pPr>
      <w:r w:rsidRPr="00830908">
        <w:rPr>
          <w:rFonts w:ascii="Arial" w:hAnsi="Arial" w:cs="Arial"/>
          <w:bCs/>
          <w:lang w:val="es-ES"/>
        </w:rPr>
        <w:t xml:space="preserve">Art. </w:t>
      </w:r>
      <w:r w:rsidR="002E4496">
        <w:rPr>
          <w:rFonts w:ascii="Arial" w:hAnsi="Arial" w:cs="Arial"/>
          <w:bCs/>
          <w:lang w:val="es-ES"/>
        </w:rPr>
        <w:t>4</w:t>
      </w:r>
      <w:r w:rsidR="00830908" w:rsidRPr="00830908">
        <w:rPr>
          <w:rFonts w:ascii="Arial" w:hAnsi="Arial" w:cs="Arial"/>
          <w:bCs/>
          <w:lang w:val="es-ES"/>
        </w:rPr>
        <w:t xml:space="preserve"> </w:t>
      </w:r>
      <w:r w:rsidRPr="00830908">
        <w:rPr>
          <w:rFonts w:ascii="Arial" w:hAnsi="Arial" w:cs="Arial"/>
          <w:bCs/>
          <w:lang w:val="es-ES"/>
        </w:rPr>
        <w:t>- Los Estados Parte</w:t>
      </w:r>
      <w:r w:rsidR="0010415D" w:rsidRPr="00830908">
        <w:rPr>
          <w:rFonts w:ascii="Arial" w:hAnsi="Arial" w:cs="Arial"/>
          <w:bCs/>
          <w:lang w:val="es-ES"/>
        </w:rPr>
        <w:t>s</w:t>
      </w:r>
      <w:r w:rsidRPr="00830908">
        <w:rPr>
          <w:rFonts w:ascii="Arial" w:hAnsi="Arial" w:cs="Arial"/>
          <w:bCs/>
          <w:lang w:val="es-ES"/>
        </w:rPr>
        <w:t xml:space="preserve"> indicarán, </w:t>
      </w:r>
      <w:r w:rsidR="00A06E5E" w:rsidRPr="00830908">
        <w:rPr>
          <w:rFonts w:ascii="Arial" w:hAnsi="Arial" w:cs="Arial"/>
          <w:bCs/>
          <w:lang w:val="es-ES"/>
        </w:rPr>
        <w:t xml:space="preserve">en </w:t>
      </w:r>
      <w:r w:rsidRPr="00830908">
        <w:rPr>
          <w:rFonts w:ascii="Arial" w:hAnsi="Arial" w:cs="Arial"/>
          <w:bCs/>
          <w:lang w:val="es-ES"/>
        </w:rPr>
        <w:t>el ámbito del Subgrupo de Trabajo Nº 3 "Reglamentos Técnicos y Evaluación de la Conformidad" (SGT N° 3), los organismos nacionales competentes para la implementación de la presente Resolución.</w:t>
      </w:r>
    </w:p>
    <w:p w14:paraId="5EB080F0" w14:textId="77777777" w:rsidR="00A06E5E" w:rsidRPr="00830908" w:rsidRDefault="00A06E5E" w:rsidP="009D7C2D">
      <w:pPr>
        <w:pStyle w:val="Default"/>
        <w:rPr>
          <w:rFonts w:ascii="Arial" w:hAnsi="Arial" w:cs="Arial"/>
          <w:lang w:val="es-ES"/>
        </w:rPr>
      </w:pPr>
    </w:p>
    <w:p w14:paraId="4509FE8D" w14:textId="6E288912" w:rsidR="006501FD" w:rsidRDefault="006501FD" w:rsidP="006501FD">
      <w:pPr>
        <w:pStyle w:val="Default"/>
        <w:jc w:val="both"/>
        <w:rPr>
          <w:lang w:val="es-ES"/>
        </w:rPr>
      </w:pPr>
      <w:r w:rsidRPr="00515C42">
        <w:rPr>
          <w:lang w:val="es-ES"/>
        </w:rPr>
        <w:t>Art. 5</w:t>
      </w:r>
      <w:r w:rsidR="00515C42">
        <w:rPr>
          <w:lang w:val="es-ES"/>
        </w:rPr>
        <w:t xml:space="preserve"> </w:t>
      </w:r>
      <w:r w:rsidRPr="00515C42">
        <w:rPr>
          <w:lang w:val="es-ES"/>
        </w:rPr>
        <w:t>- Queda establecido un plazo de ciento y ochenta (180) días para la adecuación a los requisitos establecidos en la presente Resolución, a partir de su incorporación.</w:t>
      </w:r>
    </w:p>
    <w:p w14:paraId="1A4945B0" w14:textId="77777777" w:rsidR="006501FD" w:rsidRDefault="006501FD" w:rsidP="009D7C2D">
      <w:pPr>
        <w:pStyle w:val="CM14"/>
        <w:spacing w:after="0" w:line="276" w:lineRule="atLeast"/>
        <w:jc w:val="both"/>
        <w:rPr>
          <w:rFonts w:ascii="Arial" w:hAnsi="Arial" w:cs="Arial"/>
          <w:bCs/>
          <w:lang w:val="es-ES"/>
        </w:rPr>
      </w:pPr>
    </w:p>
    <w:p w14:paraId="344F5287" w14:textId="241F592C" w:rsidR="0035322A" w:rsidRPr="00830908" w:rsidRDefault="0035322A" w:rsidP="009D7C2D">
      <w:pPr>
        <w:pStyle w:val="CM14"/>
        <w:spacing w:after="0" w:line="276" w:lineRule="atLeast"/>
        <w:jc w:val="both"/>
        <w:rPr>
          <w:rFonts w:ascii="Arial" w:hAnsi="Arial" w:cs="Arial"/>
          <w:bCs/>
          <w:lang w:val="es-ES"/>
        </w:rPr>
      </w:pPr>
      <w:r w:rsidRPr="00830908">
        <w:rPr>
          <w:rFonts w:ascii="Arial" w:hAnsi="Arial" w:cs="Arial"/>
          <w:bCs/>
          <w:lang w:val="es-ES"/>
        </w:rPr>
        <w:t xml:space="preserve">Art. </w:t>
      </w:r>
      <w:r w:rsidR="006501FD">
        <w:rPr>
          <w:rFonts w:ascii="Arial" w:hAnsi="Arial" w:cs="Arial"/>
          <w:bCs/>
          <w:lang w:val="es-ES"/>
        </w:rPr>
        <w:t>6</w:t>
      </w:r>
      <w:r w:rsidRPr="00830908">
        <w:rPr>
          <w:rFonts w:ascii="Arial" w:hAnsi="Arial" w:cs="Arial"/>
          <w:bCs/>
          <w:lang w:val="es-ES"/>
        </w:rPr>
        <w:t xml:space="preserve"> - Esta Res</w:t>
      </w:r>
      <w:r w:rsidR="00A06E5E" w:rsidRPr="00830908">
        <w:rPr>
          <w:rFonts w:ascii="Arial" w:hAnsi="Arial" w:cs="Arial"/>
          <w:bCs/>
          <w:lang w:val="es-ES"/>
        </w:rPr>
        <w:t>olución deberá ser incorporada</w:t>
      </w:r>
      <w:r w:rsidRPr="00830908">
        <w:rPr>
          <w:rFonts w:ascii="Arial" w:hAnsi="Arial" w:cs="Arial"/>
          <w:bCs/>
          <w:lang w:val="es-ES"/>
        </w:rPr>
        <w:t xml:space="preserve"> al ordenamiento jurídico de los Estados Partes antes de xx / xx / xx.</w:t>
      </w:r>
    </w:p>
    <w:p w14:paraId="621DC8A0" w14:textId="77777777" w:rsidR="00DC0900" w:rsidRPr="00830908" w:rsidRDefault="00DC0900" w:rsidP="00DC0900">
      <w:pPr>
        <w:pStyle w:val="Default"/>
        <w:rPr>
          <w:rFonts w:ascii="Arial" w:hAnsi="Arial" w:cs="Arial"/>
          <w:lang w:val="es-ES"/>
        </w:rPr>
      </w:pPr>
    </w:p>
    <w:p w14:paraId="2BA69C2F" w14:textId="77777777" w:rsidR="00C403F5" w:rsidRDefault="00C403F5" w:rsidP="009D7C2D">
      <w:pPr>
        <w:jc w:val="right"/>
        <w:rPr>
          <w:rFonts w:ascii="Arial" w:hAnsi="Arial" w:cs="Arial"/>
          <w:b/>
          <w:snapToGrid w:val="0"/>
          <w:lang w:val="es-ES"/>
        </w:rPr>
      </w:pPr>
    </w:p>
    <w:p w14:paraId="31C28CCB" w14:textId="77777777" w:rsidR="00C403F5" w:rsidRDefault="00C403F5" w:rsidP="009D7C2D">
      <w:pPr>
        <w:jc w:val="right"/>
        <w:rPr>
          <w:rFonts w:ascii="Arial" w:hAnsi="Arial" w:cs="Arial"/>
          <w:b/>
          <w:snapToGrid w:val="0"/>
          <w:lang w:val="es-ES"/>
        </w:rPr>
      </w:pPr>
    </w:p>
    <w:p w14:paraId="0FA019CC" w14:textId="3F200EA4" w:rsidR="00A11518" w:rsidRPr="00830908" w:rsidRDefault="00A06E5E" w:rsidP="009D7C2D">
      <w:pPr>
        <w:jc w:val="right"/>
        <w:rPr>
          <w:rFonts w:ascii="Arial" w:hAnsi="Arial" w:cs="Arial"/>
          <w:b/>
          <w:snapToGrid w:val="0"/>
          <w:lang w:val="es-ES"/>
        </w:rPr>
      </w:pPr>
      <w:r w:rsidRPr="00830908">
        <w:rPr>
          <w:rFonts w:ascii="Arial" w:hAnsi="Arial" w:cs="Arial"/>
          <w:b/>
          <w:snapToGrid w:val="0"/>
          <w:lang w:val="es-ES"/>
        </w:rPr>
        <w:t xml:space="preserve">LXXII SGT Nº 3 - Asunción, </w:t>
      </w:r>
      <w:r w:rsidR="00331D5B">
        <w:rPr>
          <w:rFonts w:ascii="Arial" w:hAnsi="Arial" w:cs="Arial"/>
          <w:b/>
          <w:snapToGrid w:val="0"/>
          <w:lang w:val="es-ES"/>
        </w:rPr>
        <w:t>12</w:t>
      </w:r>
      <w:r w:rsidRPr="00830908">
        <w:rPr>
          <w:rFonts w:ascii="Arial" w:hAnsi="Arial" w:cs="Arial"/>
          <w:b/>
          <w:snapToGrid w:val="0"/>
          <w:lang w:val="es-ES"/>
        </w:rPr>
        <w:t>/</w:t>
      </w:r>
      <w:r w:rsidR="00184286">
        <w:rPr>
          <w:rFonts w:ascii="Arial" w:hAnsi="Arial" w:cs="Arial"/>
          <w:b/>
          <w:snapToGrid w:val="0"/>
          <w:lang w:val="es-ES"/>
        </w:rPr>
        <w:t>VI</w:t>
      </w:r>
      <w:r w:rsidRPr="00830908">
        <w:rPr>
          <w:rFonts w:ascii="Arial" w:hAnsi="Arial" w:cs="Arial"/>
          <w:b/>
          <w:snapToGrid w:val="0"/>
          <w:lang w:val="es-ES"/>
        </w:rPr>
        <w:t>/20</w:t>
      </w:r>
    </w:p>
    <w:p w14:paraId="0C0A569E" w14:textId="77777777" w:rsidR="00DC0900" w:rsidRPr="00830908" w:rsidRDefault="00DC0900" w:rsidP="009D7C2D">
      <w:pPr>
        <w:jc w:val="right"/>
        <w:rPr>
          <w:rFonts w:ascii="Arial" w:hAnsi="Arial" w:cs="Arial"/>
          <w:b/>
          <w:snapToGrid w:val="0"/>
          <w:lang w:val="es-ES"/>
        </w:rPr>
      </w:pPr>
    </w:p>
    <w:p w14:paraId="03A9A506" w14:textId="77777777" w:rsidR="00DC0900" w:rsidRPr="00830908" w:rsidRDefault="00DC0900" w:rsidP="009D7C2D">
      <w:pPr>
        <w:jc w:val="right"/>
        <w:rPr>
          <w:rFonts w:ascii="Arial" w:hAnsi="Arial" w:cs="Arial"/>
          <w:snapToGrid w:val="0"/>
          <w:lang w:val="es-ES"/>
        </w:rPr>
      </w:pPr>
    </w:p>
    <w:p w14:paraId="1E2C7E72" w14:textId="77777777" w:rsidR="004845CF" w:rsidRPr="00830908" w:rsidRDefault="004845CF" w:rsidP="009D7C2D">
      <w:pPr>
        <w:jc w:val="both"/>
        <w:rPr>
          <w:rFonts w:ascii="Arial" w:hAnsi="Arial" w:cs="Arial"/>
          <w:i/>
          <w:snapToGrid w:val="0"/>
          <w:lang w:val="es-ES"/>
        </w:rPr>
      </w:pPr>
    </w:p>
    <w:sectPr w:rsidR="004845CF" w:rsidRPr="00830908" w:rsidSect="00B408A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F8A8" w14:textId="77777777" w:rsidR="00947676" w:rsidRDefault="00947676" w:rsidP="009E1C32">
      <w:r>
        <w:separator/>
      </w:r>
    </w:p>
  </w:endnote>
  <w:endnote w:type="continuationSeparator" w:id="0">
    <w:p w14:paraId="06B29AEE" w14:textId="77777777" w:rsidR="00947676" w:rsidRDefault="00947676" w:rsidP="009E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A20" w14:textId="77777777" w:rsidR="0002478B" w:rsidRPr="0002478B" w:rsidRDefault="0002478B">
    <w:pPr>
      <w:pStyle w:val="Piedepgina"/>
      <w:jc w:val="right"/>
      <w:rPr>
        <w:rFonts w:ascii="Arial" w:hAnsi="Arial" w:cs="Arial"/>
        <w:sz w:val="20"/>
        <w:szCs w:val="20"/>
      </w:rPr>
    </w:pPr>
    <w:r w:rsidRPr="0002478B">
      <w:rPr>
        <w:rFonts w:ascii="Arial" w:hAnsi="Arial" w:cs="Arial"/>
        <w:sz w:val="20"/>
        <w:szCs w:val="20"/>
      </w:rPr>
      <w:fldChar w:fldCharType="begin"/>
    </w:r>
    <w:r w:rsidRPr="0002478B">
      <w:rPr>
        <w:rFonts w:ascii="Arial" w:hAnsi="Arial" w:cs="Arial"/>
        <w:sz w:val="20"/>
        <w:szCs w:val="20"/>
      </w:rPr>
      <w:instrText>PAGE   \* MERGEFORMAT</w:instrText>
    </w:r>
    <w:r w:rsidRPr="0002478B">
      <w:rPr>
        <w:rFonts w:ascii="Arial" w:hAnsi="Arial" w:cs="Arial"/>
        <w:sz w:val="20"/>
        <w:szCs w:val="20"/>
      </w:rPr>
      <w:fldChar w:fldCharType="separate"/>
    </w:r>
    <w:r w:rsidR="00C46A72" w:rsidRPr="00C46A72">
      <w:rPr>
        <w:rFonts w:ascii="Arial" w:hAnsi="Arial" w:cs="Arial"/>
        <w:noProof/>
        <w:sz w:val="20"/>
        <w:szCs w:val="20"/>
        <w:lang w:val="es-ES"/>
      </w:rPr>
      <w:t>3</w:t>
    </w:r>
    <w:r w:rsidRPr="0002478B">
      <w:rPr>
        <w:rFonts w:ascii="Arial" w:hAnsi="Arial" w:cs="Arial"/>
        <w:sz w:val="20"/>
        <w:szCs w:val="20"/>
      </w:rPr>
      <w:fldChar w:fldCharType="end"/>
    </w:r>
  </w:p>
  <w:p w14:paraId="75A8B5E5" w14:textId="77777777" w:rsidR="0002478B" w:rsidRDefault="00024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B95C9" w14:textId="77777777" w:rsidR="00947676" w:rsidRDefault="00947676" w:rsidP="009E1C32">
      <w:r>
        <w:separator/>
      </w:r>
    </w:p>
  </w:footnote>
  <w:footnote w:type="continuationSeparator" w:id="0">
    <w:p w14:paraId="48401FD5" w14:textId="77777777" w:rsidR="00947676" w:rsidRDefault="00947676" w:rsidP="009E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5682"/>
    <w:multiLevelType w:val="hybridMultilevel"/>
    <w:tmpl w:val="78C80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341F"/>
    <w:multiLevelType w:val="hybridMultilevel"/>
    <w:tmpl w:val="0A943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419C"/>
    <w:multiLevelType w:val="hybridMultilevel"/>
    <w:tmpl w:val="A02C4BC4"/>
    <w:styleLink w:val="Marcadores"/>
    <w:lvl w:ilvl="0" w:tplc="3230DBA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08454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DC31C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EC881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1CE2D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2849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D8378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8CF4B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92577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FE726C"/>
    <w:multiLevelType w:val="hybridMultilevel"/>
    <w:tmpl w:val="A02C4BC4"/>
    <w:numStyleLink w:val="Marcadores"/>
  </w:abstractNum>
  <w:abstractNum w:abstractNumId="4" w15:restartNumberingAfterBreak="0">
    <w:nsid w:val="37160EF2"/>
    <w:multiLevelType w:val="hybridMultilevel"/>
    <w:tmpl w:val="CB180032"/>
    <w:lvl w:ilvl="0" w:tplc="0F00EC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E1"/>
    <w:rsid w:val="00007964"/>
    <w:rsid w:val="0001194E"/>
    <w:rsid w:val="000156F2"/>
    <w:rsid w:val="000200CA"/>
    <w:rsid w:val="0002478B"/>
    <w:rsid w:val="000322CD"/>
    <w:rsid w:val="00034676"/>
    <w:rsid w:val="00040E30"/>
    <w:rsid w:val="00076827"/>
    <w:rsid w:val="00086737"/>
    <w:rsid w:val="000B51D1"/>
    <w:rsid w:val="000F27AA"/>
    <w:rsid w:val="0010415D"/>
    <w:rsid w:val="0011104B"/>
    <w:rsid w:val="001146BE"/>
    <w:rsid w:val="00131AC6"/>
    <w:rsid w:val="00141611"/>
    <w:rsid w:val="001430E3"/>
    <w:rsid w:val="00157926"/>
    <w:rsid w:val="00184286"/>
    <w:rsid w:val="001C0D96"/>
    <w:rsid w:val="001D4FA1"/>
    <w:rsid w:val="001D672E"/>
    <w:rsid w:val="001D6E15"/>
    <w:rsid w:val="001D78EA"/>
    <w:rsid w:val="001F657F"/>
    <w:rsid w:val="0020313D"/>
    <w:rsid w:val="00222CF6"/>
    <w:rsid w:val="00224C9B"/>
    <w:rsid w:val="00227CC5"/>
    <w:rsid w:val="00255CCF"/>
    <w:rsid w:val="002900CB"/>
    <w:rsid w:val="002C165C"/>
    <w:rsid w:val="002D75BE"/>
    <w:rsid w:val="002E0CE2"/>
    <w:rsid w:val="002E428B"/>
    <w:rsid w:val="002E4496"/>
    <w:rsid w:val="002F017B"/>
    <w:rsid w:val="002F184F"/>
    <w:rsid w:val="00311B92"/>
    <w:rsid w:val="00316043"/>
    <w:rsid w:val="0032757A"/>
    <w:rsid w:val="00331D5B"/>
    <w:rsid w:val="003425D8"/>
    <w:rsid w:val="0035322A"/>
    <w:rsid w:val="00360122"/>
    <w:rsid w:val="00367918"/>
    <w:rsid w:val="00374C4A"/>
    <w:rsid w:val="00375871"/>
    <w:rsid w:val="003871C6"/>
    <w:rsid w:val="003A06A5"/>
    <w:rsid w:val="003B56B6"/>
    <w:rsid w:val="003D46C4"/>
    <w:rsid w:val="003D5B2B"/>
    <w:rsid w:val="003F3843"/>
    <w:rsid w:val="003F4E8D"/>
    <w:rsid w:val="00401001"/>
    <w:rsid w:val="00402AA4"/>
    <w:rsid w:val="00416D96"/>
    <w:rsid w:val="0044142B"/>
    <w:rsid w:val="0044258D"/>
    <w:rsid w:val="00446270"/>
    <w:rsid w:val="0045043A"/>
    <w:rsid w:val="00453504"/>
    <w:rsid w:val="004570B4"/>
    <w:rsid w:val="0046796E"/>
    <w:rsid w:val="004719CA"/>
    <w:rsid w:val="004845CF"/>
    <w:rsid w:val="004A54C2"/>
    <w:rsid w:val="004B6A05"/>
    <w:rsid w:val="004E3DAF"/>
    <w:rsid w:val="004E5507"/>
    <w:rsid w:val="004F2A3F"/>
    <w:rsid w:val="004F550B"/>
    <w:rsid w:val="004F78FF"/>
    <w:rsid w:val="00515C42"/>
    <w:rsid w:val="00515CC4"/>
    <w:rsid w:val="0051700F"/>
    <w:rsid w:val="00521A27"/>
    <w:rsid w:val="005378F1"/>
    <w:rsid w:val="00550A2F"/>
    <w:rsid w:val="00595F1B"/>
    <w:rsid w:val="005B1913"/>
    <w:rsid w:val="005D0F29"/>
    <w:rsid w:val="00602442"/>
    <w:rsid w:val="00612D85"/>
    <w:rsid w:val="00624FEF"/>
    <w:rsid w:val="006342B6"/>
    <w:rsid w:val="00635DE8"/>
    <w:rsid w:val="00646664"/>
    <w:rsid w:val="006501FD"/>
    <w:rsid w:val="00650A97"/>
    <w:rsid w:val="0065291D"/>
    <w:rsid w:val="00653B03"/>
    <w:rsid w:val="00662EAA"/>
    <w:rsid w:val="0069143F"/>
    <w:rsid w:val="006943E1"/>
    <w:rsid w:val="00697864"/>
    <w:rsid w:val="006A7A31"/>
    <w:rsid w:val="006B3BD2"/>
    <w:rsid w:val="006C5CAA"/>
    <w:rsid w:val="006F4375"/>
    <w:rsid w:val="00702E6D"/>
    <w:rsid w:val="007131CF"/>
    <w:rsid w:val="007307B0"/>
    <w:rsid w:val="00734964"/>
    <w:rsid w:val="00734E15"/>
    <w:rsid w:val="00761C29"/>
    <w:rsid w:val="00767F6A"/>
    <w:rsid w:val="0078010A"/>
    <w:rsid w:val="0078729E"/>
    <w:rsid w:val="00794614"/>
    <w:rsid w:val="007A3BD4"/>
    <w:rsid w:val="007A3BF8"/>
    <w:rsid w:val="007A41E1"/>
    <w:rsid w:val="007D35B1"/>
    <w:rsid w:val="007F37FA"/>
    <w:rsid w:val="007F7EAF"/>
    <w:rsid w:val="00800C3D"/>
    <w:rsid w:val="00801767"/>
    <w:rsid w:val="00825417"/>
    <w:rsid w:val="00827F15"/>
    <w:rsid w:val="00830225"/>
    <w:rsid w:val="00830908"/>
    <w:rsid w:val="00835EB0"/>
    <w:rsid w:val="008533E3"/>
    <w:rsid w:val="0086668D"/>
    <w:rsid w:val="008839D4"/>
    <w:rsid w:val="008C60FF"/>
    <w:rsid w:val="008C74A1"/>
    <w:rsid w:val="0090243D"/>
    <w:rsid w:val="009119C7"/>
    <w:rsid w:val="00914AF2"/>
    <w:rsid w:val="00914C95"/>
    <w:rsid w:val="00934CE1"/>
    <w:rsid w:val="0094241C"/>
    <w:rsid w:val="00947676"/>
    <w:rsid w:val="00964C8C"/>
    <w:rsid w:val="00967FC7"/>
    <w:rsid w:val="009818B7"/>
    <w:rsid w:val="009854E6"/>
    <w:rsid w:val="00993A81"/>
    <w:rsid w:val="009949B1"/>
    <w:rsid w:val="009C688D"/>
    <w:rsid w:val="009D7C2D"/>
    <w:rsid w:val="009E14C5"/>
    <w:rsid w:val="009E1C32"/>
    <w:rsid w:val="009F758C"/>
    <w:rsid w:val="00A06E5E"/>
    <w:rsid w:val="00A11518"/>
    <w:rsid w:val="00A11D1F"/>
    <w:rsid w:val="00A32DE4"/>
    <w:rsid w:val="00A4032A"/>
    <w:rsid w:val="00A51BEB"/>
    <w:rsid w:val="00A64CFF"/>
    <w:rsid w:val="00A7070C"/>
    <w:rsid w:val="00A86EBD"/>
    <w:rsid w:val="00A9482A"/>
    <w:rsid w:val="00A95820"/>
    <w:rsid w:val="00AA6630"/>
    <w:rsid w:val="00AB4F36"/>
    <w:rsid w:val="00AB5D2E"/>
    <w:rsid w:val="00AB7B90"/>
    <w:rsid w:val="00AC0C0C"/>
    <w:rsid w:val="00AC5A67"/>
    <w:rsid w:val="00AD2415"/>
    <w:rsid w:val="00AE7B53"/>
    <w:rsid w:val="00B00C32"/>
    <w:rsid w:val="00B07E51"/>
    <w:rsid w:val="00B14653"/>
    <w:rsid w:val="00B408A5"/>
    <w:rsid w:val="00B55F4D"/>
    <w:rsid w:val="00B82748"/>
    <w:rsid w:val="00B84D07"/>
    <w:rsid w:val="00B8505A"/>
    <w:rsid w:val="00BB4FC8"/>
    <w:rsid w:val="00BD32A2"/>
    <w:rsid w:val="00BE3DF3"/>
    <w:rsid w:val="00BE7B51"/>
    <w:rsid w:val="00C01AB7"/>
    <w:rsid w:val="00C043BE"/>
    <w:rsid w:val="00C10855"/>
    <w:rsid w:val="00C10995"/>
    <w:rsid w:val="00C11E09"/>
    <w:rsid w:val="00C233BA"/>
    <w:rsid w:val="00C33162"/>
    <w:rsid w:val="00C403F5"/>
    <w:rsid w:val="00C46A72"/>
    <w:rsid w:val="00C63129"/>
    <w:rsid w:val="00C67470"/>
    <w:rsid w:val="00C85770"/>
    <w:rsid w:val="00C93959"/>
    <w:rsid w:val="00CA344B"/>
    <w:rsid w:val="00CB3249"/>
    <w:rsid w:val="00CB5791"/>
    <w:rsid w:val="00CB62B8"/>
    <w:rsid w:val="00CC4AA2"/>
    <w:rsid w:val="00CC724D"/>
    <w:rsid w:val="00CF62B5"/>
    <w:rsid w:val="00D16A12"/>
    <w:rsid w:val="00D2022D"/>
    <w:rsid w:val="00D20DD8"/>
    <w:rsid w:val="00D32656"/>
    <w:rsid w:val="00D456CE"/>
    <w:rsid w:val="00D45926"/>
    <w:rsid w:val="00D50DBC"/>
    <w:rsid w:val="00D55BF5"/>
    <w:rsid w:val="00D6122E"/>
    <w:rsid w:val="00D75146"/>
    <w:rsid w:val="00D861D9"/>
    <w:rsid w:val="00D97F1A"/>
    <w:rsid w:val="00DA309A"/>
    <w:rsid w:val="00DB60B1"/>
    <w:rsid w:val="00DC0900"/>
    <w:rsid w:val="00DC0F98"/>
    <w:rsid w:val="00DD0C20"/>
    <w:rsid w:val="00DD377F"/>
    <w:rsid w:val="00DD570C"/>
    <w:rsid w:val="00DE10D6"/>
    <w:rsid w:val="00DE1D27"/>
    <w:rsid w:val="00DE4E60"/>
    <w:rsid w:val="00DF03BE"/>
    <w:rsid w:val="00E07A7C"/>
    <w:rsid w:val="00E12C66"/>
    <w:rsid w:val="00E23101"/>
    <w:rsid w:val="00E343FB"/>
    <w:rsid w:val="00E35A14"/>
    <w:rsid w:val="00E5272B"/>
    <w:rsid w:val="00E5380E"/>
    <w:rsid w:val="00E57356"/>
    <w:rsid w:val="00E86640"/>
    <w:rsid w:val="00EA7294"/>
    <w:rsid w:val="00EB6564"/>
    <w:rsid w:val="00EC18F3"/>
    <w:rsid w:val="00ED5DD3"/>
    <w:rsid w:val="00EE6DFD"/>
    <w:rsid w:val="00EF07DF"/>
    <w:rsid w:val="00EF30DE"/>
    <w:rsid w:val="00F015C7"/>
    <w:rsid w:val="00F01F3A"/>
    <w:rsid w:val="00F0609B"/>
    <w:rsid w:val="00F16BB2"/>
    <w:rsid w:val="00F220DE"/>
    <w:rsid w:val="00F2531D"/>
    <w:rsid w:val="00F50470"/>
    <w:rsid w:val="00F64596"/>
    <w:rsid w:val="00F646D0"/>
    <w:rsid w:val="00F658BD"/>
    <w:rsid w:val="00F670FD"/>
    <w:rsid w:val="00F70884"/>
    <w:rsid w:val="00F95116"/>
    <w:rsid w:val="00FA718D"/>
    <w:rsid w:val="00FC7F32"/>
    <w:rsid w:val="00FE1589"/>
    <w:rsid w:val="00F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3510679"/>
  <w15:chartTrackingRefBased/>
  <w15:docId w15:val="{F0AB5834-69CF-4553-94FC-DB834DF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3E1"/>
    <w:rPr>
      <w:rFonts w:ascii="Times New Roman" w:eastAsia="Times New Roman" w:hAnsi="Times New Roman"/>
      <w:sz w:val="24"/>
      <w:szCs w:val="24"/>
      <w:lang w:val="pt-B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0884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577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rsid w:val="006943E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M14">
    <w:name w:val="CM14"/>
    <w:next w:val="Default"/>
    <w:rsid w:val="006943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73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s-ES_tradnl" w:eastAsia="pt-BR"/>
    </w:rPr>
  </w:style>
  <w:style w:type="paragraph" w:customStyle="1" w:styleId="Default">
    <w:name w:val="Default"/>
    <w:rsid w:val="006943E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s-ES_tradnl" w:eastAsia="pt-BR"/>
    </w:rPr>
  </w:style>
  <w:style w:type="paragraph" w:customStyle="1" w:styleId="CM15">
    <w:name w:val="CM15"/>
    <w:next w:val="Default"/>
    <w:rsid w:val="006943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555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s-ES_tradnl" w:eastAsia="pt-BR"/>
    </w:rPr>
  </w:style>
  <w:style w:type="paragraph" w:customStyle="1" w:styleId="Corpo">
    <w:name w:val="Corpo"/>
    <w:rsid w:val="006943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pt-BR" w:eastAsia="pt-BR"/>
    </w:rPr>
  </w:style>
  <w:style w:type="table" w:customStyle="1" w:styleId="TableNormal">
    <w:name w:val="Table Normal"/>
    <w:rsid w:val="00E538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45043A"/>
    <w:pPr>
      <w:spacing w:before="100" w:beforeAutospacing="1" w:after="100" w:afterAutospacing="1"/>
    </w:pPr>
    <w:rPr>
      <w:lang w:eastAsia="pt-BR"/>
    </w:rPr>
  </w:style>
  <w:style w:type="numbering" w:customStyle="1" w:styleId="Marcadores">
    <w:name w:val="Marcadores"/>
    <w:rsid w:val="00650A97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0A97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50A9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uiPriority w:val="9"/>
    <w:rsid w:val="00F70884"/>
    <w:rPr>
      <w:rFonts w:ascii="Cambria" w:eastAsia="Times New Roman" w:hAnsi="Cambria" w:cs="Times New Roman"/>
      <w:color w:val="365F91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D6122E"/>
    <w:pPr>
      <w:ind w:left="720"/>
      <w:contextualSpacing/>
    </w:pPr>
    <w:rPr>
      <w:sz w:val="20"/>
      <w:szCs w:val="20"/>
    </w:rPr>
  </w:style>
  <w:style w:type="character" w:customStyle="1" w:styleId="Ttulo2Car">
    <w:name w:val="Título 2 Car"/>
    <w:link w:val="Ttulo2"/>
    <w:uiPriority w:val="9"/>
    <w:rsid w:val="00C85770"/>
    <w:rPr>
      <w:rFonts w:ascii="Cambria" w:eastAsia="Times New Roman" w:hAnsi="Cambria" w:cs="Times New Roman"/>
      <w:color w:val="365F91"/>
      <w:sz w:val="26"/>
      <w:szCs w:val="26"/>
      <w:lang w:eastAsia="es-ES"/>
    </w:rPr>
  </w:style>
  <w:style w:type="character" w:styleId="Hipervnculo">
    <w:name w:val="Hyperlink"/>
    <w:uiPriority w:val="99"/>
    <w:semiHidden/>
    <w:unhideWhenUsed/>
    <w:rsid w:val="00C857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7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478B"/>
    <w:rPr>
      <w:rFonts w:ascii="Times New Roman" w:eastAsia="Times New Roman" w:hAnsi="Times New Roman"/>
      <w:sz w:val="24"/>
      <w:szCs w:val="24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0247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2478B"/>
    <w:rPr>
      <w:rFonts w:ascii="Times New Roman" w:eastAsia="Times New Roman" w:hAnsi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MERCOSUL_SGT-3</dc:creator>
  <cp:keywords/>
  <cp:lastModifiedBy>Marcy Hottum</cp:lastModifiedBy>
  <cp:revision>6</cp:revision>
  <dcterms:created xsi:type="dcterms:W3CDTF">2020-06-10T13:32:00Z</dcterms:created>
  <dcterms:modified xsi:type="dcterms:W3CDTF">2020-06-10T15:14:00Z</dcterms:modified>
</cp:coreProperties>
</file>